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451B35A0" w:rsidR="00B63F86" w:rsidRDefault="00FD5432" w:rsidP="001062E8">
      <w:pPr>
        <w:pStyle w:val="Kop2"/>
        <w:jc w:val="center"/>
        <w:rPr>
          <w:rFonts w:asciiTheme="minorHAnsi" w:hAnsiTheme="minorHAnsi" w:cstheme="minorHAnsi"/>
          <w:i w:val="0"/>
          <w:sz w:val="32"/>
          <w:szCs w:val="32"/>
        </w:rPr>
      </w:pPr>
      <w:r>
        <w:rPr>
          <w:rFonts w:asciiTheme="minorHAnsi" w:hAnsiTheme="minorHAnsi"/>
          <w:i w:val="0"/>
          <w:sz w:val="32"/>
          <w:szCs w:val="32"/>
        </w:rPr>
        <w:t>Training on demand - SESSION 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483B2CC2" w:rsidR="009E315C" w:rsidRPr="005E575D" w:rsidRDefault="002679EF" w:rsidP="005C57E4">
            <w:pPr>
              <w:jc w:val="both"/>
              <w:rPr>
                <w:rFonts w:asciiTheme="minorHAnsi" w:hAnsiTheme="minorHAnsi" w:cstheme="minorHAnsi"/>
                <w:szCs w:val="24"/>
              </w:rPr>
            </w:pPr>
            <w:r>
              <w:rPr>
                <w:rFonts w:asciiTheme="minorHAnsi" w:hAnsiTheme="minorHAnsi"/>
                <w:szCs w:val="24"/>
              </w:rPr>
              <w:t>Pitching</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33C444C3" w:rsidR="00B63F86" w:rsidRPr="005E575D" w:rsidRDefault="00FD5432" w:rsidP="005C57E4">
            <w:pPr>
              <w:jc w:val="both"/>
              <w:rPr>
                <w:rFonts w:asciiTheme="minorHAnsi" w:hAnsiTheme="minorHAnsi" w:cstheme="minorHAnsi"/>
                <w:szCs w:val="24"/>
              </w:rPr>
            </w:pPr>
            <w:r>
              <w:rPr>
                <w:rFonts w:asciiTheme="minorHAnsi" w:hAnsiTheme="minorHAnsi"/>
                <w:szCs w:val="24"/>
              </w:rPr>
              <w:t>Training on demand</w:t>
            </w:r>
          </w:p>
        </w:tc>
      </w:tr>
      <w:tr w:rsidR="00B63F86" w:rsidRPr="005E575D" w14:paraId="64B95593" w14:textId="77777777" w:rsidTr="00EE5E9B">
        <w:tc>
          <w:tcPr>
            <w:tcW w:w="1288" w:type="pct"/>
          </w:tcPr>
          <w:p w14:paraId="7237E800" w14:textId="77FBBBC0" w:rsidR="00B63F86" w:rsidRPr="005E575D" w:rsidRDefault="005C3A0B" w:rsidP="00EE5E9B">
            <w:pPr>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34BA69CF" w:rsidR="00B63F86" w:rsidRPr="005E575D" w:rsidRDefault="00B27105" w:rsidP="005C57E4">
            <w:pPr>
              <w:jc w:val="both"/>
              <w:rPr>
                <w:rFonts w:asciiTheme="minorHAnsi" w:hAnsiTheme="minorHAnsi" w:cstheme="minorHAnsi"/>
                <w:szCs w:val="24"/>
              </w:rPr>
            </w:pPr>
            <w:r>
              <w:rPr>
                <w:rFonts w:asciiTheme="minorHAnsi" w:hAnsiTheme="minorHAnsi"/>
                <w:szCs w:val="24"/>
              </w:rPr>
              <w:t>90 minutes or longer</w:t>
            </w:r>
          </w:p>
        </w:tc>
      </w:tr>
      <w:tr w:rsidR="0027536D" w:rsidRPr="00C00D74" w14:paraId="1D89544E" w14:textId="77777777" w:rsidTr="00EE5E9B">
        <w:tc>
          <w:tcPr>
            <w:tcW w:w="1288" w:type="pct"/>
          </w:tcPr>
          <w:p w14:paraId="3514DD24" w14:textId="77777777" w:rsidR="0027536D" w:rsidRPr="005E575D" w:rsidRDefault="005C3A0B" w:rsidP="00EE5E9B">
            <w:pPr>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1C7F7DE5" w:rsidR="0027536D" w:rsidRPr="00941A6A" w:rsidRDefault="00941A6A" w:rsidP="00371543">
            <w:pPr>
              <w:spacing w:before="100" w:beforeAutospacing="1" w:after="100" w:afterAutospacing="1"/>
              <w:outlineLvl w:val="1"/>
              <w:rPr>
                <w:rFonts w:ascii="Calibri" w:hAnsi="Calibri" w:cs="Calibri"/>
                <w:color w:val="000000"/>
                <w:szCs w:val="24"/>
              </w:rPr>
            </w:pPr>
            <w:r>
              <w:rPr>
                <w:rFonts w:ascii="Calibri" w:hAnsi="Calibri"/>
                <w:color w:val="000000"/>
                <w:szCs w:val="24"/>
              </w:rPr>
              <w:t xml:space="preserve">For the young people to receive the necessary support (practical, technical, substantive) to present their group and business idea to a wider audience.  </w:t>
            </w:r>
          </w:p>
        </w:tc>
      </w:tr>
      <w:tr w:rsidR="00534E39" w:rsidRPr="006F7B93" w14:paraId="0BC523D2" w14:textId="77777777" w:rsidTr="00EE5E9B">
        <w:trPr>
          <w:trHeight w:val="402"/>
        </w:trPr>
        <w:tc>
          <w:tcPr>
            <w:tcW w:w="1288" w:type="pct"/>
          </w:tcPr>
          <w:p w14:paraId="3873EF9B" w14:textId="77777777" w:rsidR="00534E39" w:rsidRPr="005E575D" w:rsidRDefault="005C3A0B" w:rsidP="00EE5E9B">
            <w:pPr>
              <w:rPr>
                <w:rFonts w:asciiTheme="minorHAnsi" w:hAnsiTheme="minorHAnsi" w:cstheme="minorHAnsi"/>
                <w:b/>
                <w:bCs/>
                <w:szCs w:val="24"/>
              </w:rPr>
            </w:pPr>
            <w:r>
              <w:rPr>
                <w:rFonts w:asciiTheme="minorHAnsi" w:hAnsiTheme="minorHAnsi"/>
                <w:b/>
                <w:bCs/>
                <w:szCs w:val="24"/>
              </w:rPr>
              <w:t>Learning Outcomes</w:t>
            </w:r>
          </w:p>
        </w:tc>
        <w:tc>
          <w:tcPr>
            <w:tcW w:w="3712" w:type="pct"/>
          </w:tcPr>
          <w:p w14:paraId="52BBDAC9" w14:textId="54140101" w:rsidR="00173B73" w:rsidRPr="006F7B93" w:rsidRDefault="006F7B93" w:rsidP="00EE5E9B">
            <w:pPr>
              <w:jc w:val="both"/>
              <w:rPr>
                <w:rFonts w:asciiTheme="minorHAnsi" w:hAnsiTheme="minorHAnsi" w:cstheme="minorHAnsi"/>
                <w:szCs w:val="24"/>
              </w:rPr>
            </w:pPr>
            <w:r>
              <w:rPr>
                <w:rFonts w:asciiTheme="minorHAnsi" w:hAnsiTheme="minorHAnsi"/>
                <w:szCs w:val="24"/>
              </w:rPr>
              <w:t xml:space="preserve">The young people have the necessary competences to present their business idea convincingly.  </w:t>
            </w:r>
          </w:p>
        </w:tc>
      </w:tr>
      <w:tr w:rsidR="00DB5FC9" w:rsidRPr="00E23449" w14:paraId="07D17ED7" w14:textId="77777777" w:rsidTr="00EE5E9B">
        <w:tc>
          <w:tcPr>
            <w:tcW w:w="1288" w:type="pct"/>
          </w:tcPr>
          <w:p w14:paraId="24FBD7C1" w14:textId="246C883A" w:rsidR="00DB5FC9" w:rsidRPr="005E575D" w:rsidRDefault="00173B73" w:rsidP="00EE5E9B">
            <w:pPr>
              <w:rPr>
                <w:rFonts w:asciiTheme="minorHAnsi" w:hAnsiTheme="minorHAnsi" w:cstheme="minorHAnsi"/>
                <w:b/>
                <w:bCs/>
                <w:szCs w:val="24"/>
              </w:rPr>
            </w:pPr>
            <w:r>
              <w:rPr>
                <w:rFonts w:asciiTheme="minorHAnsi" w:hAnsiTheme="minorHAnsi"/>
                <w:b/>
                <w:bCs/>
                <w:szCs w:val="24"/>
              </w:rPr>
              <w:t>EntreComp Competences Gained</w:t>
            </w:r>
          </w:p>
        </w:tc>
        <w:tc>
          <w:tcPr>
            <w:tcW w:w="3712" w:type="pct"/>
          </w:tcPr>
          <w:p w14:paraId="6C90BDE2" w14:textId="7215043D" w:rsidR="00DB5FC9" w:rsidRPr="00E23449" w:rsidRDefault="00E23449" w:rsidP="00F966FD">
            <w:pPr>
              <w:pStyle w:val="withbottommargin"/>
              <w:spacing w:before="0" w:beforeAutospacing="0" w:after="120" w:afterAutospacing="0"/>
              <w:rPr>
                <w:rFonts w:asciiTheme="minorHAnsi" w:eastAsiaTheme="minorHAnsi" w:hAnsiTheme="minorHAnsi" w:cstheme="minorBidi"/>
              </w:rPr>
            </w:pPr>
            <w:r>
              <w:rPr>
                <w:rFonts w:asciiTheme="minorHAnsi" w:hAnsiTheme="minorHAnsi"/>
              </w:rPr>
              <w:t>Mobilising others and resources: using help and support to create added value with a business idea</w:t>
            </w:r>
          </w:p>
        </w:tc>
      </w:tr>
      <w:tr w:rsidR="00173B73" w:rsidRPr="00A42C22" w14:paraId="26B02D78" w14:textId="77777777" w:rsidTr="00EE5E9B">
        <w:tc>
          <w:tcPr>
            <w:tcW w:w="1288" w:type="pct"/>
          </w:tcPr>
          <w:p w14:paraId="566817C6" w14:textId="5E2341D9" w:rsidR="00173B73" w:rsidRPr="005E575D" w:rsidRDefault="00173B73" w:rsidP="00EE5E9B">
            <w:pPr>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19DCF5FA" w:rsidR="00173B73" w:rsidRPr="00A42C22" w:rsidRDefault="00A42C22" w:rsidP="004E0EF9">
            <w:pPr>
              <w:pStyle w:val="withbottommargin"/>
              <w:spacing w:before="0" w:beforeAutospacing="0" w:after="120" w:afterAutospacing="0"/>
              <w:rPr>
                <w:rFonts w:ascii="Calibri" w:hAnsi="Calibri" w:cs="Calibri"/>
                <w:color w:val="000000"/>
              </w:rPr>
            </w:pPr>
            <w:r>
              <w:rPr>
                <w:rFonts w:ascii="Calibri" w:hAnsi="Calibri"/>
                <w:color w:val="000000"/>
              </w:rPr>
              <w:t>Depends on the specific training</w:t>
            </w:r>
          </w:p>
        </w:tc>
      </w:tr>
      <w:tr w:rsidR="008671A6" w:rsidRPr="007421F8" w14:paraId="0CDB67AB" w14:textId="77777777" w:rsidTr="00A63F15">
        <w:trPr>
          <w:trHeight w:val="420"/>
        </w:trPr>
        <w:tc>
          <w:tcPr>
            <w:tcW w:w="1288" w:type="pct"/>
          </w:tcPr>
          <w:p w14:paraId="63D661A3" w14:textId="683532FF" w:rsidR="008671A6" w:rsidRPr="005E575D" w:rsidRDefault="008671A6" w:rsidP="00EE5E9B">
            <w:pPr>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 etc.</w:t>
            </w:r>
          </w:p>
        </w:tc>
        <w:tc>
          <w:tcPr>
            <w:tcW w:w="3712" w:type="pct"/>
          </w:tcPr>
          <w:p w14:paraId="326CA3F9" w14:textId="2EAA575B" w:rsidR="00AF7AC7" w:rsidRPr="007421F8" w:rsidRDefault="007421F8" w:rsidP="003161F3">
            <w:pPr>
              <w:pStyle w:val="withbottommargin"/>
              <w:spacing w:before="0" w:beforeAutospacing="0" w:after="0" w:afterAutospacing="0"/>
              <w:rPr>
                <w:rFonts w:asciiTheme="minorHAnsi" w:eastAsiaTheme="minorHAnsi" w:hAnsiTheme="minorHAnsi" w:cstheme="minorBidi"/>
              </w:rPr>
            </w:pPr>
            <w:r>
              <w:rPr>
                <w:rFonts w:asciiTheme="minorHAnsi" w:hAnsiTheme="minorHAnsi"/>
              </w:rPr>
              <w:t>These activities may be</w:t>
            </w:r>
            <w:r w:rsidR="00695E82">
              <w:rPr>
                <w:rFonts w:asciiTheme="minorHAnsi" w:hAnsiTheme="minorHAnsi"/>
              </w:rPr>
              <w:t xml:space="preserve"> offered</w:t>
            </w:r>
            <w:r>
              <w:rPr>
                <w:rFonts w:asciiTheme="minorHAnsi" w:hAnsiTheme="minorHAnsi"/>
              </w:rPr>
              <w:t xml:space="preserve"> online or offline, depending on the specific demand</w:t>
            </w:r>
          </w:p>
        </w:tc>
      </w:tr>
      <w:tr w:rsidR="00384E91" w:rsidRPr="00E23449" w14:paraId="62DB2DB9" w14:textId="77777777" w:rsidTr="00EE5E9B">
        <w:tc>
          <w:tcPr>
            <w:tcW w:w="1288" w:type="pct"/>
          </w:tcPr>
          <w:p w14:paraId="049D205C" w14:textId="7060E68E" w:rsidR="00384E91" w:rsidRPr="005E575D" w:rsidRDefault="00384E91" w:rsidP="00EE5E9B">
            <w:pPr>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1AEF213F" w14:textId="6063B1BB" w:rsidR="009E49FD" w:rsidRPr="00E23449" w:rsidRDefault="00624473" w:rsidP="00683CF5">
            <w:pPr>
              <w:pStyle w:val="withbottommargin"/>
              <w:spacing w:before="0" w:beforeAutospacing="0" w:after="120" w:afterAutospacing="0"/>
              <w:rPr>
                <w:rFonts w:asciiTheme="minorHAnsi" w:eastAsiaTheme="minorHAnsi" w:hAnsiTheme="minorHAnsi" w:cstheme="minorBidi"/>
              </w:rPr>
            </w:pPr>
            <w:r>
              <w:rPr>
                <w:rFonts w:asciiTheme="minorHAnsi" w:hAnsiTheme="minorHAnsi"/>
              </w:rPr>
              <w:t>1 activity</w:t>
            </w:r>
            <w:r w:rsidR="00E23449">
              <w:rPr>
                <w:rFonts w:asciiTheme="minorHAnsi" w:hAnsiTheme="minorHAnsi"/>
              </w:rPr>
              <w:t xml:space="preserve"> (60-90 minutes, could also be longer)</w:t>
            </w:r>
          </w:p>
        </w:tc>
      </w:tr>
      <w:tr w:rsidR="00683CF5" w:rsidRPr="00C45597" w14:paraId="0D298B10" w14:textId="77777777" w:rsidTr="00EE5E9B">
        <w:tc>
          <w:tcPr>
            <w:tcW w:w="1288" w:type="pct"/>
          </w:tcPr>
          <w:p w14:paraId="2E2FE66F" w14:textId="225C0798" w:rsidR="00683CF5" w:rsidRPr="005E575D" w:rsidRDefault="00204FD5" w:rsidP="00EE5E9B">
            <w:pPr>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207F278F" w:rsidR="00683CF5" w:rsidRPr="00C45597" w:rsidRDefault="00C45597" w:rsidP="001062E8">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At the end of the activities, ask the young people what they thought of them. Have them evaluate the training on demand. This also helps those in charge of the project to assess whether the training is suitable for further distribution and use.  </w:t>
            </w:r>
          </w:p>
        </w:tc>
      </w:tr>
    </w:tbl>
    <w:p w14:paraId="12D010A4" w14:textId="77777777" w:rsidR="001062E8" w:rsidRPr="00624473" w:rsidRDefault="001062E8"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C45597" w14:paraId="7963B0B1" w14:textId="77777777" w:rsidTr="00EB2938">
        <w:tc>
          <w:tcPr>
            <w:tcW w:w="13892" w:type="dxa"/>
            <w:tcBorders>
              <w:bottom w:val="single" w:sz="4" w:space="0" w:color="auto"/>
            </w:tcBorders>
            <w:shd w:val="clear" w:color="auto" w:fill="D9D9D9" w:themeFill="background1" w:themeFillShade="D9"/>
          </w:tcPr>
          <w:p w14:paraId="7D7E828F" w14:textId="09514DDE" w:rsidR="00B75863" w:rsidRPr="00C45597"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Create an inventory of needs and activate your network</w:t>
            </w:r>
          </w:p>
        </w:tc>
      </w:tr>
      <w:tr w:rsidR="00F673CC" w:rsidRPr="0002158A" w14:paraId="6F5AA964" w14:textId="77777777" w:rsidTr="00F673CC">
        <w:tc>
          <w:tcPr>
            <w:tcW w:w="13892" w:type="dxa"/>
            <w:tcBorders>
              <w:bottom w:val="single" w:sz="4" w:space="0" w:color="auto"/>
            </w:tcBorders>
            <w:shd w:val="clear" w:color="auto" w:fill="auto"/>
          </w:tcPr>
          <w:p w14:paraId="4B1E9583" w14:textId="28137ABC"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Duration: </w:t>
            </w:r>
            <w:r>
              <w:rPr>
                <w:rFonts w:asciiTheme="minorHAnsi" w:hAnsiTheme="minorHAnsi"/>
              </w:rPr>
              <w:t xml:space="preserve">60-90 minutes </w:t>
            </w:r>
          </w:p>
        </w:tc>
      </w:tr>
      <w:tr w:rsidR="00B75863" w:rsidRPr="0017297A" w14:paraId="59B0B842" w14:textId="77777777" w:rsidTr="00EB2938">
        <w:tc>
          <w:tcPr>
            <w:tcW w:w="13892" w:type="dxa"/>
            <w:tcBorders>
              <w:top w:val="single" w:sz="4" w:space="0" w:color="auto"/>
            </w:tcBorders>
          </w:tcPr>
          <w:p w14:paraId="1FB0D734" w14:textId="77777777" w:rsidR="00B75863" w:rsidRDefault="00B75863" w:rsidP="00B201BE">
            <w:pPr>
              <w:spacing w:before="100" w:beforeAutospacing="1" w:after="100" w:afterAutospacing="1" w:line="276" w:lineRule="auto"/>
              <w:outlineLvl w:val="1"/>
              <w:rPr>
                <w:rFonts w:asciiTheme="minorHAnsi" w:eastAsiaTheme="minorHAnsi" w:hAnsiTheme="minorHAnsi" w:cstheme="minorBidi"/>
              </w:rPr>
            </w:pPr>
            <w:r>
              <w:rPr>
                <w:rFonts w:asciiTheme="minorHAnsi" w:hAnsiTheme="minorHAnsi"/>
                <w:b/>
                <w:bCs/>
              </w:rPr>
              <w:t xml:space="preserve">Resources: </w:t>
            </w:r>
          </w:p>
          <w:p w14:paraId="7FBFCE39" w14:textId="57F890E1" w:rsidR="0017297A" w:rsidRPr="009155A0" w:rsidRDefault="009155A0" w:rsidP="0017297A">
            <w:pPr>
              <w:pStyle w:val="Lijstalinea"/>
              <w:numPr>
                <w:ilvl w:val="0"/>
                <w:numId w:val="7"/>
              </w:numPr>
              <w:spacing w:after="160" w:line="259" w:lineRule="auto"/>
              <w:rPr>
                <w:rFonts w:asciiTheme="majorHAnsi" w:hAnsiTheme="majorHAnsi" w:cstheme="majorHAnsi"/>
              </w:rPr>
            </w:pPr>
            <w:r>
              <w:rPr>
                <w:rFonts w:asciiTheme="majorHAnsi" w:hAnsiTheme="majorHAnsi"/>
                <w:i/>
              </w:rPr>
              <w:t>Under development</w:t>
            </w:r>
            <w:r>
              <w:rPr>
                <w:rFonts w:asciiTheme="majorHAnsi" w:hAnsiTheme="majorHAnsi"/>
              </w:rPr>
              <w:t xml:space="preserve">: an overview of online and offline resources offered by project partners from SPEED You UP. </w:t>
            </w:r>
          </w:p>
          <w:p w14:paraId="6E053AE1" w14:textId="5E5FE3BE" w:rsidR="00C45597" w:rsidRPr="00624473" w:rsidRDefault="00C45597" w:rsidP="00B201BE">
            <w:pPr>
              <w:spacing w:before="100" w:beforeAutospacing="1" w:after="100" w:afterAutospacing="1" w:line="276" w:lineRule="auto"/>
              <w:outlineLvl w:val="1"/>
              <w:rPr>
                <w:color w:val="0000FF" w:themeColor="hyperlink"/>
                <w:u w:val="single"/>
                <w:lang w:val="en-US"/>
              </w:rPr>
            </w:pPr>
          </w:p>
        </w:tc>
      </w:tr>
      <w:tr w:rsidR="001A5EDC" w:rsidRPr="00BB3D96" w14:paraId="75EF63FE" w14:textId="77777777" w:rsidTr="000D5671">
        <w:tc>
          <w:tcPr>
            <w:tcW w:w="13892" w:type="dxa"/>
          </w:tcPr>
          <w:p w14:paraId="2B159484" w14:textId="45A6EE56" w:rsidR="0017297A" w:rsidRPr="00BB3D96" w:rsidRDefault="001A5EDC" w:rsidP="008C6254">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r>
              <w:rPr>
                <w:rFonts w:asciiTheme="minorHAnsi" w:hAnsiTheme="minorHAnsi"/>
              </w:rPr>
              <w:t xml:space="preserve">Training on demand is ideal for a rapid and appropriate response to a current need or question. It is flexible and highly motivating for young people because it fits exactly with what they need. Do the young people want to pitch online, but do they lack experience of using the technology involved? Do the young people want to give a talk, but lack confidence about being on stage? Examine what is needed to give them extra support, whether through an online or offline training session or a workshop.  </w:t>
            </w:r>
          </w:p>
        </w:tc>
      </w:tr>
      <w:tr w:rsidR="003B103A" w:rsidRPr="00781054" w14:paraId="7A5B9A8A" w14:textId="77777777" w:rsidTr="000D5671">
        <w:tc>
          <w:tcPr>
            <w:tcW w:w="13892" w:type="dxa"/>
          </w:tcPr>
          <w:p w14:paraId="3B0DC73F" w14:textId="0CE01DB7" w:rsidR="00781054" w:rsidRDefault="006222E3"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Create an inventory of how far the young people have got with their pitch, what they are still stumbling over and what they need help with.</w:t>
            </w:r>
          </w:p>
          <w:p w14:paraId="0CE0A8A9" w14:textId="45DF8F83" w:rsidR="006222E3" w:rsidRDefault="006222E3"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What are the possibilities for peer-to-peer learning? Are there young people who are very good with online tools, photography or something else? Make sure they can help one another out. It would also be possible to make contact with young people from other regions or countries. Contact the project partner/project coordinator to discuss this.</w:t>
            </w:r>
          </w:p>
          <w:p w14:paraId="2C917566" w14:textId="282CB565" w:rsidR="007470EA" w:rsidRDefault="007470EA"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What gaps can the young people identify? What skills are they still lacking? What do they still need? Make a list and prioritise. One or two training sessions at most should be arranged to address these gaps.</w:t>
            </w:r>
          </w:p>
          <w:p w14:paraId="5637BC41" w14:textId="263C998E" w:rsidR="00427078" w:rsidRDefault="00427078"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Consult your own organisation, your business network and the project network (via the project coordinator). Think about how you can support the young people. For example, a fellow-teacher who is very good at presenting might be a good solution, or an online webinar provided by a SPEED You UP partner. If you look for solutions internationally, be very clear about what you are looking for: should it be online or offline, and in which languages could the material be? Over what timeframe are you looking for this support? </w:t>
            </w:r>
          </w:p>
          <w:p w14:paraId="7DDBB4D9" w14:textId="5380867D" w:rsidR="00DA4AD7" w:rsidRDefault="00DA4AD7"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Plan and organise the support.</w:t>
            </w:r>
          </w:p>
          <w:p w14:paraId="04B44607" w14:textId="5A482DCF" w:rsidR="00DA4AD7" w:rsidRPr="00781054" w:rsidRDefault="00DA4AD7"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Evaluate together with the young people.</w:t>
            </w:r>
          </w:p>
          <w:p w14:paraId="6FA3CF7B" w14:textId="77777777" w:rsidR="003B103A" w:rsidRPr="00624473" w:rsidRDefault="003B103A" w:rsidP="00980507">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r w:rsidR="00466C1F" w:rsidRPr="00781054" w14:paraId="2EDB708E" w14:textId="77777777" w:rsidTr="000D5671">
        <w:tc>
          <w:tcPr>
            <w:tcW w:w="13892" w:type="dxa"/>
          </w:tcPr>
          <w:p w14:paraId="22B257B5" w14:textId="77777777" w:rsidR="00466C1F" w:rsidRPr="00624473"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15E0E7AF" w14:textId="7024E5D6" w:rsidR="00BE65BB" w:rsidRPr="00624473" w:rsidRDefault="00BE65BB" w:rsidP="00B63F86">
      <w:pPr>
        <w:jc w:val="both"/>
        <w:rPr>
          <w:rFonts w:asciiTheme="minorHAnsi" w:hAnsiTheme="minorHAnsi" w:cstheme="minorHAnsi"/>
          <w:szCs w:val="24"/>
          <w:lang w:val="en-US"/>
        </w:rPr>
      </w:pPr>
    </w:p>
    <w:p w14:paraId="52922499" w14:textId="4B92E41D" w:rsidR="00BE65BB" w:rsidRPr="00624473" w:rsidRDefault="00BE65BB" w:rsidP="00B63F86">
      <w:pPr>
        <w:jc w:val="both"/>
        <w:rPr>
          <w:rFonts w:asciiTheme="minorHAnsi" w:hAnsiTheme="minorHAnsi" w:cstheme="minorHAnsi"/>
          <w:szCs w:val="24"/>
          <w:lang w:val="en-US"/>
        </w:rPr>
      </w:pPr>
    </w:p>
    <w:p w14:paraId="5D4600E7" w14:textId="77777777" w:rsidR="00BE65BB" w:rsidRPr="00624473" w:rsidRDefault="00BE65BB" w:rsidP="00B63F86">
      <w:pPr>
        <w:jc w:val="both"/>
        <w:rPr>
          <w:rFonts w:asciiTheme="minorHAnsi" w:hAnsiTheme="minorHAnsi" w:cstheme="minorHAnsi"/>
          <w:szCs w:val="24"/>
          <w:lang w:val="en-US"/>
        </w:rPr>
      </w:pPr>
    </w:p>
    <w:p w14:paraId="68767409" w14:textId="77777777" w:rsidR="007C543E" w:rsidRPr="00624473" w:rsidRDefault="007C543E" w:rsidP="007C543E">
      <w:pPr>
        <w:rPr>
          <w:rFonts w:ascii="Calibri" w:hAnsi="Calibri"/>
          <w:b/>
          <w:sz w:val="22"/>
          <w:szCs w:val="22"/>
          <w:lang w:val="en-US"/>
        </w:rPr>
      </w:pPr>
    </w:p>
    <w:sectPr w:rsidR="007C543E" w:rsidRPr="00624473"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47DF" w14:textId="77777777" w:rsidR="00961FEB" w:rsidRDefault="00961FEB" w:rsidP="0093137D">
      <w:r>
        <w:separator/>
      </w:r>
    </w:p>
  </w:endnote>
  <w:endnote w:type="continuationSeparator" w:id="0">
    <w:p w14:paraId="4CC0004F" w14:textId="77777777" w:rsidR="00961FEB" w:rsidRDefault="00961FEB"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A00389">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4C6F7" w14:textId="77777777" w:rsidR="00961FEB" w:rsidRDefault="00961FEB" w:rsidP="0093137D">
      <w:r>
        <w:separator/>
      </w:r>
    </w:p>
  </w:footnote>
  <w:footnote w:type="continuationSeparator" w:id="0">
    <w:p w14:paraId="32EADA60" w14:textId="77777777" w:rsidR="00961FEB" w:rsidRDefault="00961FEB"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w:pStyle w:val="Koptekst"/>
      <w:jc w:val="center"/>
    </w:pPr>
    <w:r>
      <w:rPr>
        <w:noProof/>
        <w:lang w:val="nl-BE" w:eastAsia="nl-BE"/>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Pitching</w:t>
    </w:r>
    <w:r>
      <w:t xml:space="preserve">  </w:t>
    </w:r>
    <w:r>
      <w:object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5pt;height:77.5pt;mso-width-percent:0;mso-height-percent:0;mso-width-percent:0;mso-height-percent:0">
          <v:imagedata r:id="rId2" o:title=""/>
        </v:shape>
        <o:OLEObject Type="Embed" ProgID="PBrush" ShapeID="_x0000_i1025" DrawAspect="Content" ObjectID="_166723546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812226"/>
    <w:multiLevelType w:val="hybridMultilevel"/>
    <w:tmpl w:val="682866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3"/>
  </w:num>
  <w:num w:numId="5">
    <w:abstractNumId w:val="6"/>
  </w:num>
  <w:num w:numId="6">
    <w:abstractNumId w:val="7"/>
  </w:num>
  <w:num w:numId="7">
    <w:abstractNumId w:val="4"/>
  </w:num>
  <w:num w:numId="8">
    <w:abstractNumId w:val="1"/>
  </w:num>
  <w:num w:numId="9">
    <w:abstractNumId w:val="10"/>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577C8"/>
    <w:rsid w:val="0006161B"/>
    <w:rsid w:val="00061F64"/>
    <w:rsid w:val="00082F86"/>
    <w:rsid w:val="000A4483"/>
    <w:rsid w:val="00101AE1"/>
    <w:rsid w:val="001062E8"/>
    <w:rsid w:val="00121C60"/>
    <w:rsid w:val="0015415D"/>
    <w:rsid w:val="001622B5"/>
    <w:rsid w:val="0017297A"/>
    <w:rsid w:val="00173B73"/>
    <w:rsid w:val="00180FD9"/>
    <w:rsid w:val="001A5EDC"/>
    <w:rsid w:val="001C4414"/>
    <w:rsid w:val="001F5D2A"/>
    <w:rsid w:val="00204FD5"/>
    <w:rsid w:val="00211799"/>
    <w:rsid w:val="00211D81"/>
    <w:rsid w:val="0022090B"/>
    <w:rsid w:val="00240C06"/>
    <w:rsid w:val="002565F6"/>
    <w:rsid w:val="00257115"/>
    <w:rsid w:val="002679EF"/>
    <w:rsid w:val="0027536D"/>
    <w:rsid w:val="002C1FEA"/>
    <w:rsid w:val="002C2F83"/>
    <w:rsid w:val="002C3765"/>
    <w:rsid w:val="00306AF0"/>
    <w:rsid w:val="003106B5"/>
    <w:rsid w:val="003161F3"/>
    <w:rsid w:val="00333B2E"/>
    <w:rsid w:val="00371543"/>
    <w:rsid w:val="00377BF3"/>
    <w:rsid w:val="00384E91"/>
    <w:rsid w:val="003B103A"/>
    <w:rsid w:val="003C26F3"/>
    <w:rsid w:val="003E3721"/>
    <w:rsid w:val="003E6E53"/>
    <w:rsid w:val="003F69ED"/>
    <w:rsid w:val="003F6ADF"/>
    <w:rsid w:val="00400090"/>
    <w:rsid w:val="00427078"/>
    <w:rsid w:val="00430AC8"/>
    <w:rsid w:val="004369D5"/>
    <w:rsid w:val="004442D5"/>
    <w:rsid w:val="00453AED"/>
    <w:rsid w:val="00466C1F"/>
    <w:rsid w:val="004A3507"/>
    <w:rsid w:val="004C194E"/>
    <w:rsid w:val="004D189A"/>
    <w:rsid w:val="004D54D3"/>
    <w:rsid w:val="004E0EF9"/>
    <w:rsid w:val="005007F2"/>
    <w:rsid w:val="0050689E"/>
    <w:rsid w:val="005254B6"/>
    <w:rsid w:val="00532E86"/>
    <w:rsid w:val="00534E39"/>
    <w:rsid w:val="00556339"/>
    <w:rsid w:val="005C3A0B"/>
    <w:rsid w:val="005E575D"/>
    <w:rsid w:val="005F77E1"/>
    <w:rsid w:val="00605B56"/>
    <w:rsid w:val="00607934"/>
    <w:rsid w:val="00612A37"/>
    <w:rsid w:val="00621273"/>
    <w:rsid w:val="00621BCF"/>
    <w:rsid w:val="006222E3"/>
    <w:rsid w:val="00624473"/>
    <w:rsid w:val="006457EF"/>
    <w:rsid w:val="00683CF5"/>
    <w:rsid w:val="00686DB4"/>
    <w:rsid w:val="00695E82"/>
    <w:rsid w:val="006C2C1D"/>
    <w:rsid w:val="006C5165"/>
    <w:rsid w:val="006F7B93"/>
    <w:rsid w:val="00720505"/>
    <w:rsid w:val="007375E1"/>
    <w:rsid w:val="007421F8"/>
    <w:rsid w:val="007470EA"/>
    <w:rsid w:val="00781054"/>
    <w:rsid w:val="00782954"/>
    <w:rsid w:val="007B1846"/>
    <w:rsid w:val="007C543E"/>
    <w:rsid w:val="007F2FA6"/>
    <w:rsid w:val="007F4F7D"/>
    <w:rsid w:val="00817E09"/>
    <w:rsid w:val="00822288"/>
    <w:rsid w:val="0085024F"/>
    <w:rsid w:val="008671A6"/>
    <w:rsid w:val="00875A43"/>
    <w:rsid w:val="008A07C8"/>
    <w:rsid w:val="008C6254"/>
    <w:rsid w:val="008D1BE3"/>
    <w:rsid w:val="008D3C7C"/>
    <w:rsid w:val="0090453E"/>
    <w:rsid w:val="009155A0"/>
    <w:rsid w:val="00927443"/>
    <w:rsid w:val="0093137D"/>
    <w:rsid w:val="00941A6A"/>
    <w:rsid w:val="009425ED"/>
    <w:rsid w:val="00943AC8"/>
    <w:rsid w:val="00950BC2"/>
    <w:rsid w:val="00961FEB"/>
    <w:rsid w:val="00962CD0"/>
    <w:rsid w:val="00973F4C"/>
    <w:rsid w:val="009743DF"/>
    <w:rsid w:val="00980507"/>
    <w:rsid w:val="009978F8"/>
    <w:rsid w:val="009B0977"/>
    <w:rsid w:val="009C4036"/>
    <w:rsid w:val="009E315C"/>
    <w:rsid w:val="009E432B"/>
    <w:rsid w:val="009E49FD"/>
    <w:rsid w:val="00A00389"/>
    <w:rsid w:val="00A40834"/>
    <w:rsid w:val="00A42C22"/>
    <w:rsid w:val="00A5126A"/>
    <w:rsid w:val="00A611F5"/>
    <w:rsid w:val="00A63F15"/>
    <w:rsid w:val="00A76966"/>
    <w:rsid w:val="00A83E85"/>
    <w:rsid w:val="00A9103F"/>
    <w:rsid w:val="00A92D1C"/>
    <w:rsid w:val="00AA418F"/>
    <w:rsid w:val="00AB1CC1"/>
    <w:rsid w:val="00AC65B0"/>
    <w:rsid w:val="00AE5D92"/>
    <w:rsid w:val="00AF7AC7"/>
    <w:rsid w:val="00B201BE"/>
    <w:rsid w:val="00B20A62"/>
    <w:rsid w:val="00B27105"/>
    <w:rsid w:val="00B300B8"/>
    <w:rsid w:val="00B43FD8"/>
    <w:rsid w:val="00B63F86"/>
    <w:rsid w:val="00B75863"/>
    <w:rsid w:val="00B85419"/>
    <w:rsid w:val="00BA02D5"/>
    <w:rsid w:val="00BB1C33"/>
    <w:rsid w:val="00BB3D96"/>
    <w:rsid w:val="00BC4A68"/>
    <w:rsid w:val="00BD3C80"/>
    <w:rsid w:val="00BD4CF2"/>
    <w:rsid w:val="00BE65BB"/>
    <w:rsid w:val="00C00D74"/>
    <w:rsid w:val="00C22F7D"/>
    <w:rsid w:val="00C45597"/>
    <w:rsid w:val="00C573E2"/>
    <w:rsid w:val="00C61F5F"/>
    <w:rsid w:val="00C840A9"/>
    <w:rsid w:val="00C9591B"/>
    <w:rsid w:val="00CA2641"/>
    <w:rsid w:val="00CD096E"/>
    <w:rsid w:val="00CE57C8"/>
    <w:rsid w:val="00D407B3"/>
    <w:rsid w:val="00D43F83"/>
    <w:rsid w:val="00D53F2B"/>
    <w:rsid w:val="00D81C57"/>
    <w:rsid w:val="00D94A2E"/>
    <w:rsid w:val="00D96A91"/>
    <w:rsid w:val="00D975DA"/>
    <w:rsid w:val="00DA4AD7"/>
    <w:rsid w:val="00DB0D11"/>
    <w:rsid w:val="00DB2B49"/>
    <w:rsid w:val="00DB5FC9"/>
    <w:rsid w:val="00DE60FF"/>
    <w:rsid w:val="00E01EEC"/>
    <w:rsid w:val="00E23449"/>
    <w:rsid w:val="00E25999"/>
    <w:rsid w:val="00E361F3"/>
    <w:rsid w:val="00E51B5F"/>
    <w:rsid w:val="00E559E1"/>
    <w:rsid w:val="00EB2938"/>
    <w:rsid w:val="00EB7B16"/>
    <w:rsid w:val="00EE5E9B"/>
    <w:rsid w:val="00F05D4D"/>
    <w:rsid w:val="00F110A9"/>
    <w:rsid w:val="00F17048"/>
    <w:rsid w:val="00F26959"/>
    <w:rsid w:val="00F4749B"/>
    <w:rsid w:val="00F673CC"/>
    <w:rsid w:val="00F72F8E"/>
    <w:rsid w:val="00F92166"/>
    <w:rsid w:val="00F966FD"/>
    <w:rsid w:val="00FB6809"/>
    <w:rsid w:val="00FC233B"/>
    <w:rsid w:val="00FD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customStyle="1" w:styleId="Onopgelostemelding1">
    <w:name w:val="Onopgeloste melding1"/>
    <w:basedOn w:val="Standaardalinea-lettertype"/>
    <w:uiPriority w:val="99"/>
    <w:semiHidden/>
    <w:unhideWhenUsed/>
    <w:rsid w:val="0005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3.xml><?xml version="1.0" encoding="utf-8"?>
<ds:datastoreItem xmlns:ds="http://schemas.openxmlformats.org/officeDocument/2006/customXml" ds:itemID="{317E9192-A1FC-45EA-A6E7-6A0577E5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E8000-1745-4217-99A1-2E384127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2650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2020-11-18T19:09:00Z</dcterms:created>
  <dcterms:modified xsi:type="dcterms:W3CDTF">2020-11-18T19:11:00Z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